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2A6A" w14:textId="07069F98" w:rsidR="007D3511" w:rsidRPr="00803F12" w:rsidRDefault="00676B7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03F12">
        <w:rPr>
          <w:rFonts w:asciiTheme="minorHAnsi" w:hAnsiTheme="minorHAnsi" w:cs="Calibri"/>
          <w:b/>
          <w:bCs/>
          <w:sz w:val="28"/>
        </w:rPr>
        <w:t>NOTICE OF REGISTRATION OF NEW ZEALAND JUDGMENT</w:t>
      </w:r>
    </w:p>
    <w:p w14:paraId="24253FA5" w14:textId="440763F9" w:rsidR="00CF2500" w:rsidRPr="00803F12" w:rsidRDefault="00CF250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0A031BE" w14:textId="3E374E7D" w:rsidR="00CF2500" w:rsidRPr="00803F12" w:rsidRDefault="00CF2500" w:rsidP="00CF250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803F12">
        <w:rPr>
          <w:rFonts w:asciiTheme="minorHAnsi" w:hAnsiTheme="minorHAnsi" w:cs="Calibri"/>
          <w:iCs/>
        </w:rPr>
        <w:t>[</w:t>
      </w:r>
      <w:r w:rsidRPr="00803F12">
        <w:rPr>
          <w:rFonts w:asciiTheme="minorHAnsi" w:hAnsiTheme="minorHAnsi" w:cs="Calibri"/>
          <w:i/>
          <w:iCs/>
        </w:rPr>
        <w:t>SUPREME/DISTRICT/MAGISTRATES</w:t>
      </w:r>
      <w:r w:rsidRPr="00803F12">
        <w:rPr>
          <w:rFonts w:asciiTheme="minorHAnsi" w:hAnsiTheme="minorHAnsi" w:cs="Calibri"/>
          <w:iCs/>
        </w:rPr>
        <w:t xml:space="preserve">] </w:t>
      </w:r>
      <w:r w:rsidR="00FF54C7" w:rsidRPr="00803F12">
        <w:rPr>
          <w:rFonts w:asciiTheme="minorHAnsi" w:hAnsiTheme="minorHAnsi" w:cs="Calibri"/>
          <w:b/>
          <w:sz w:val="12"/>
        </w:rPr>
        <w:t>Delete all but one</w:t>
      </w:r>
      <w:r w:rsidRPr="00803F12">
        <w:rPr>
          <w:rFonts w:asciiTheme="minorHAnsi" w:hAnsiTheme="minorHAnsi" w:cs="Calibri"/>
          <w:b/>
          <w:sz w:val="12"/>
        </w:rPr>
        <w:t xml:space="preserve"> </w:t>
      </w:r>
      <w:r w:rsidRPr="00803F12">
        <w:rPr>
          <w:rFonts w:asciiTheme="minorHAnsi" w:hAnsiTheme="minorHAnsi" w:cs="Calibri"/>
          <w:iCs/>
        </w:rPr>
        <w:t xml:space="preserve">COURT </w:t>
      </w:r>
      <w:r w:rsidRPr="00803F12">
        <w:rPr>
          <w:rFonts w:asciiTheme="minorHAnsi" w:hAnsiTheme="minorHAnsi" w:cs="Calibri"/>
          <w:bCs/>
        </w:rPr>
        <w:t xml:space="preserve">OF SOUTH AUSTRALIA </w:t>
      </w:r>
    </w:p>
    <w:p w14:paraId="2CA11CA4" w14:textId="77777777" w:rsidR="00CF2500" w:rsidRPr="00803F12" w:rsidRDefault="00CF2500" w:rsidP="009B052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803F12">
        <w:rPr>
          <w:rFonts w:asciiTheme="minorHAnsi" w:hAnsiTheme="minorHAnsi" w:cs="Calibri"/>
          <w:iCs/>
        </w:rPr>
        <w:t>CIVIL JURISDICTION</w:t>
      </w:r>
    </w:p>
    <w:bookmarkEnd w:id="0"/>
    <w:p w14:paraId="505B2CB6" w14:textId="07E04F19" w:rsidR="007D3511" w:rsidRPr="00803F12" w:rsidRDefault="00A648B8" w:rsidP="009B0521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803F12">
        <w:rPr>
          <w:rFonts w:asciiTheme="minorHAnsi" w:hAnsiTheme="minorHAnsi" w:cs="Calibri"/>
          <w:b/>
          <w:sz w:val="12"/>
        </w:rPr>
        <w:t>Please specify the Fu</w:t>
      </w:r>
      <w:r w:rsidR="00FF54C7" w:rsidRPr="00803F12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FF54C7" w:rsidRPr="00803F12">
        <w:rPr>
          <w:rFonts w:asciiTheme="minorHAnsi" w:hAnsiTheme="minorHAnsi" w:cs="Calibri"/>
          <w:b/>
          <w:sz w:val="12"/>
        </w:rPr>
        <w:t>eg</w:t>
      </w:r>
      <w:proofErr w:type="spellEnd"/>
      <w:r w:rsidRPr="00803F1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F80157" w:rsidRPr="00803F12">
        <w:rPr>
          <w:rFonts w:asciiTheme="minorHAnsi" w:hAnsiTheme="minorHAnsi" w:cs="Calibri"/>
          <w:b/>
          <w:sz w:val="12"/>
        </w:rPr>
        <w:t>party</w:t>
      </w:r>
      <w:proofErr w:type="gramStart"/>
      <w:r w:rsidRPr="00803F12">
        <w:rPr>
          <w:rFonts w:asciiTheme="minorHAnsi" w:hAnsiTheme="minorHAnsi" w:cs="Calibri"/>
          <w:b/>
          <w:sz w:val="12"/>
        </w:rPr>
        <w:t xml:space="preserve">. </w:t>
      </w:r>
      <w:proofErr w:type="gramEnd"/>
      <w:r w:rsidRPr="00803F12">
        <w:rPr>
          <w:rFonts w:asciiTheme="minorHAnsi" w:hAnsiTheme="minorHAnsi" w:cs="Calibri"/>
          <w:b/>
          <w:sz w:val="12"/>
        </w:rPr>
        <w:t>Each party should include a party number</w:t>
      </w:r>
      <w:r w:rsidR="00F80157" w:rsidRPr="00803F12">
        <w:rPr>
          <w:rFonts w:asciiTheme="minorHAnsi" w:hAnsiTheme="minorHAnsi" w:cs="Calibri"/>
          <w:b/>
          <w:sz w:val="12"/>
        </w:rPr>
        <w:t xml:space="preserve"> if more than one</w:t>
      </w:r>
      <w:r w:rsidR="00CF2500" w:rsidRPr="00803F12">
        <w:rPr>
          <w:rFonts w:asciiTheme="minorHAnsi" w:hAnsiTheme="minorHAnsi" w:cs="Calibri"/>
          <w:b/>
          <w:sz w:val="12"/>
        </w:rPr>
        <w:t xml:space="preserve"> party of the same type</w:t>
      </w:r>
      <w:r w:rsidRPr="00803F12">
        <w:rPr>
          <w:rFonts w:asciiTheme="minorHAnsi" w:hAnsiTheme="minorHAnsi" w:cs="Calibri"/>
          <w:b/>
          <w:sz w:val="12"/>
        </w:rPr>
        <w:t>.</w:t>
      </w:r>
    </w:p>
    <w:p w14:paraId="11546D8C" w14:textId="77777777" w:rsidR="009B0521" w:rsidRPr="009B0521" w:rsidRDefault="009B0521" w:rsidP="009B052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6EFB611C" w14:textId="77777777" w:rsidR="009B0521" w:rsidRPr="009B0521" w:rsidDel="00897A6B" w:rsidRDefault="009B0521" w:rsidP="009B052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B0521" w:rsidDel="00897A6B">
        <w:rPr>
          <w:rFonts w:cs="Calibri"/>
          <w:bCs/>
        </w:rPr>
        <w:t xml:space="preserve">First </w:t>
      </w:r>
      <w:r w:rsidRPr="009B0521">
        <w:rPr>
          <w:rFonts w:cs="Calibri"/>
          <w:bCs/>
        </w:rPr>
        <w:t>Applicant</w:t>
      </w:r>
    </w:p>
    <w:p w14:paraId="3CC9536D" w14:textId="77777777" w:rsidR="009B0521" w:rsidRPr="009B0521" w:rsidRDefault="009B0521" w:rsidP="009B052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29257F0" w14:textId="77777777" w:rsidR="009B0521" w:rsidRPr="009B0521" w:rsidDel="00897A6B" w:rsidRDefault="009B0521" w:rsidP="009B052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B0521">
        <w:rPr>
          <w:rFonts w:cs="Calibri"/>
          <w:bCs/>
        </w:rPr>
        <w:t>First Respondent</w:t>
      </w:r>
    </w:p>
    <w:p w14:paraId="134455C7" w14:textId="77777777" w:rsidR="009B0521" w:rsidRPr="009B0521" w:rsidRDefault="009B0521" w:rsidP="009B052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F9B60A0" w14:textId="77777777" w:rsidR="009B0521" w:rsidRPr="009B0521" w:rsidRDefault="009B0521" w:rsidP="009B052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9B0521">
        <w:rPr>
          <w:rFonts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03F12" w:rsidRPr="00803F12" w14:paraId="0A3239A0" w14:textId="77777777" w:rsidTr="00803F12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9EB8D2C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GoBack"/>
            <w:bookmarkEnd w:id="1"/>
            <w:bookmarkEnd w:id="2"/>
            <w:bookmarkEnd w:id="3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C93B923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03F12" w:rsidRPr="00803F12" w14:paraId="7C7E596F" w14:textId="77777777" w:rsidTr="00803F12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43D974A9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03F12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85D4074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Full Name (including Also Known as, capacity (</w:t>
            </w:r>
            <w:proofErr w:type="spellStart"/>
            <w:r w:rsidRPr="00803F12">
              <w:rPr>
                <w:rFonts w:cs="Arial"/>
                <w:b/>
                <w:sz w:val="12"/>
                <w:szCs w:val="22"/>
              </w:rPr>
              <w:t>eg</w:t>
            </w:r>
            <w:proofErr w:type="spellEnd"/>
            <w:r w:rsidRPr="00803F12">
              <w:rPr>
                <w:rFonts w:cs="Arial"/>
                <w:b/>
                <w:sz w:val="12"/>
                <w:szCs w:val="22"/>
              </w:rPr>
              <w:t xml:space="preserve"> Administrator, Liquidator, Trustee) and Litigation Guardian Name (if applicable))</w:t>
            </w:r>
          </w:p>
        </w:tc>
      </w:tr>
      <w:tr w:rsidR="00803F12" w:rsidRPr="00803F12" w14:paraId="2440E4B6" w14:textId="77777777" w:rsidTr="00803F1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639F97A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szCs w:val="22"/>
              </w:rPr>
              <w:t>Name of law firm / solicitor</w:t>
            </w:r>
          </w:p>
          <w:p w14:paraId="4924846D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8F931E7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AFC1867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03F12" w:rsidRPr="00803F12" w14:paraId="7CC75BFD" w14:textId="77777777" w:rsidTr="00803F12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892E3EB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3EAB59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D4074A3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803F12" w:rsidRPr="00803F12" w14:paraId="5F5729FD" w14:textId="77777777" w:rsidTr="00803F1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72103C2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899CCEC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03F12" w:rsidRPr="00803F12" w14:paraId="0BE3D4F0" w14:textId="77777777" w:rsidTr="00803F1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F2A7DA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11E20F9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803F12" w:rsidRPr="00803F12" w14:paraId="34FAF362" w14:textId="77777777" w:rsidTr="00803F12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E6CC4EB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DCB3B04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8A40BE1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868814B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C34E9D3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03F12" w:rsidRPr="00803F12" w14:paraId="673772BE" w14:textId="77777777" w:rsidTr="00803F12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A57C521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4324440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7712D1C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DC4731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CA3E93B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803F12" w:rsidRPr="00803F12" w14:paraId="4CE811E9" w14:textId="77777777" w:rsidTr="00803F12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539DC08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7BB0629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03F12" w:rsidRPr="00803F12" w14:paraId="4BE4D2C2" w14:textId="77777777" w:rsidTr="00803F1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03E844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6F2639F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803F12" w:rsidRPr="00803F12" w14:paraId="33122967" w14:textId="77777777" w:rsidTr="00803F1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762A08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03F12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37284E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03F12" w:rsidRPr="00803F12" w14:paraId="093ADD57" w14:textId="77777777" w:rsidTr="00803F1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ACB31ED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40474550" w14:textId="77777777" w:rsidR="00803F12" w:rsidRPr="00803F12" w:rsidRDefault="00803F12" w:rsidP="00803F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803F12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14:paraId="324A0CD3" w14:textId="2FF3FF4A" w:rsidR="00803F12" w:rsidRPr="00F11FEC" w:rsidRDefault="00F11FEC" w:rsidP="00F11FEC">
      <w:pPr>
        <w:rPr>
          <w:b/>
          <w:sz w:val="12"/>
          <w:szCs w:val="12"/>
        </w:rPr>
      </w:pPr>
      <w:r>
        <w:rPr>
          <w:b/>
          <w:sz w:val="12"/>
          <w:szCs w:val="12"/>
        </w:rPr>
        <w:t>Duplicate panel if multiple Parties</w:t>
      </w:r>
    </w:p>
    <w:p w14:paraId="2CABE452" w14:textId="77777777" w:rsidR="00F11FEC" w:rsidRPr="00803F12" w:rsidRDefault="00F11FEC" w:rsidP="00803F12">
      <w:pPr>
        <w:spacing w:before="12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76B72" w:rsidRPr="00803F12" w14:paraId="5581E0C6" w14:textId="77777777" w:rsidTr="00676B72">
        <w:tc>
          <w:tcPr>
            <w:tcW w:w="10457" w:type="dxa"/>
          </w:tcPr>
          <w:p w14:paraId="50593B82" w14:textId="77777777" w:rsidR="00676B72" w:rsidRPr="00803F12" w:rsidRDefault="00676B72" w:rsidP="00E36F2F">
            <w:pPr>
              <w:spacing w:before="120" w:after="240"/>
              <w:jc w:val="center"/>
              <w:rPr>
                <w:rFonts w:asciiTheme="majorHAnsi" w:hAnsiTheme="majorHAnsi" w:cstheme="majorHAnsi"/>
                <w:b/>
              </w:rPr>
            </w:pPr>
            <w:r w:rsidRPr="00803F12">
              <w:rPr>
                <w:rFonts w:asciiTheme="majorHAnsi" w:hAnsiTheme="majorHAnsi" w:cstheme="majorHAnsi"/>
                <w:b/>
              </w:rPr>
              <w:t>PLEASE READ THIS NOTICE VERY CAREFULLY</w:t>
            </w:r>
          </w:p>
          <w:p w14:paraId="5A34E872" w14:textId="40CE1CC2" w:rsidR="00E02429" w:rsidRPr="00803F12" w:rsidRDefault="00E02429" w:rsidP="00803F12">
            <w:pPr>
              <w:spacing w:before="240" w:after="240"/>
              <w:rPr>
                <w:rFonts w:asciiTheme="majorHAnsi" w:hAnsiTheme="majorHAnsi" w:cstheme="majorHAnsi"/>
              </w:rPr>
            </w:pPr>
            <w:r w:rsidRPr="00803F12">
              <w:rPr>
                <w:rFonts w:asciiTheme="majorHAnsi" w:hAnsiTheme="majorHAnsi" w:cstheme="majorHAnsi"/>
              </w:rPr>
              <w:t>If you have any trouble understanding the notice, you should get legal advice as soon as possible.</w:t>
            </w:r>
          </w:p>
          <w:p w14:paraId="61069B54" w14:textId="5CD6351D" w:rsidR="00676B72" w:rsidRPr="00803F12" w:rsidRDefault="00E02429" w:rsidP="00803F12">
            <w:pPr>
              <w:spacing w:after="120"/>
              <w:rPr>
                <w:rFonts w:asciiTheme="minorHAnsi" w:hAnsiTheme="minorHAnsi" w:cs="Calibri"/>
              </w:rPr>
            </w:pPr>
            <w:r w:rsidRPr="00803F12">
              <w:rPr>
                <w:rFonts w:asciiTheme="majorHAnsi" w:hAnsiTheme="majorHAnsi" w:cstheme="majorHAnsi"/>
              </w:rPr>
              <w:t xml:space="preserve">Attached to this notice is a copy of the judgment </w:t>
            </w:r>
            <w:r w:rsidRPr="00E36F2F">
              <w:rPr>
                <w:rFonts w:asciiTheme="majorHAnsi" w:hAnsiTheme="majorHAnsi" w:cstheme="majorHAnsi"/>
              </w:rPr>
              <w:t>given by</w:t>
            </w:r>
            <w:r w:rsidR="003B1F36" w:rsidRPr="00E36F2F">
              <w:rPr>
                <w:rFonts w:asciiTheme="majorHAnsi" w:hAnsiTheme="majorHAnsi" w:cstheme="majorHAnsi"/>
              </w:rPr>
              <w:t xml:space="preserve"> [</w:t>
            </w:r>
            <w:r w:rsidR="003B1F36" w:rsidRPr="00E36F2F">
              <w:rPr>
                <w:rFonts w:asciiTheme="majorHAnsi" w:hAnsiTheme="majorHAnsi" w:cstheme="majorHAnsi"/>
                <w:i/>
              </w:rPr>
              <w:t>New Zealand court or tribunal</w:t>
            </w:r>
            <w:r w:rsidR="003B1F36" w:rsidRPr="00E36F2F">
              <w:rPr>
                <w:rFonts w:asciiTheme="majorHAnsi" w:hAnsiTheme="majorHAnsi" w:cstheme="majorHAnsi"/>
              </w:rPr>
              <w:t xml:space="preserve">]. </w:t>
            </w:r>
            <w:r w:rsidRPr="00E36F2F">
              <w:rPr>
                <w:rFonts w:asciiTheme="majorHAnsi" w:hAnsiTheme="majorHAnsi" w:cstheme="majorHAnsi"/>
              </w:rPr>
              <w:t xml:space="preserve"> This judgment has been registered in the </w:t>
            </w:r>
            <w:r w:rsidR="003B1F36" w:rsidRPr="00E36F2F">
              <w:rPr>
                <w:rFonts w:asciiTheme="majorHAnsi" w:hAnsiTheme="majorHAnsi" w:cstheme="majorHAnsi"/>
              </w:rPr>
              <w:t>[</w:t>
            </w:r>
            <w:r w:rsidRPr="00E36F2F">
              <w:rPr>
                <w:rFonts w:asciiTheme="majorHAnsi" w:hAnsiTheme="majorHAnsi" w:cstheme="majorHAnsi"/>
                <w:i/>
              </w:rPr>
              <w:t>name of Court</w:t>
            </w:r>
            <w:r w:rsidR="003B1F36" w:rsidRPr="00E36F2F">
              <w:rPr>
                <w:rFonts w:asciiTheme="majorHAnsi" w:hAnsiTheme="majorHAnsi" w:cstheme="majorHAnsi"/>
              </w:rPr>
              <w:t>]</w:t>
            </w:r>
            <w:r w:rsidRPr="00E36F2F">
              <w:rPr>
                <w:rFonts w:asciiTheme="majorHAnsi" w:hAnsiTheme="majorHAnsi" w:cstheme="majorHAnsi"/>
              </w:rPr>
              <w:t xml:space="preserve"> Court of South Aus</w:t>
            </w:r>
            <w:r w:rsidRPr="00803F12">
              <w:rPr>
                <w:rFonts w:asciiTheme="majorHAnsi" w:hAnsiTheme="majorHAnsi" w:cstheme="majorHAnsi"/>
              </w:rPr>
              <w:t>tralia under the Trans</w:t>
            </w:r>
            <w:r w:rsidRPr="00803F12">
              <w:rPr>
                <w:rFonts w:asciiTheme="majorHAnsi" w:hAnsiTheme="majorHAnsi" w:cstheme="majorHAnsi"/>
              </w:rPr>
              <w:noBreakHyphen/>
              <w:t>Tasman Proceedings Act 2010 (Cth).</w:t>
            </w:r>
          </w:p>
        </w:tc>
      </w:tr>
    </w:tbl>
    <w:p w14:paraId="6A2A53EB" w14:textId="77777777" w:rsidR="00FF54C7" w:rsidRPr="00803F12" w:rsidRDefault="00FF54C7" w:rsidP="00FF54C7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76B72" w:rsidRPr="00803F12" w14:paraId="4B78947D" w14:textId="77777777" w:rsidTr="008559D8">
        <w:trPr>
          <w:cantSplit/>
        </w:trPr>
        <w:tc>
          <w:tcPr>
            <w:tcW w:w="10457" w:type="dxa"/>
          </w:tcPr>
          <w:p w14:paraId="4FDB833D" w14:textId="77777777" w:rsidR="00E02429" w:rsidRPr="00803F12" w:rsidRDefault="00E02429" w:rsidP="00803F12">
            <w:pPr>
              <w:pStyle w:val="NoSpacing"/>
              <w:spacing w:before="120" w:after="24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03F12">
              <w:rPr>
                <w:rFonts w:asciiTheme="minorHAnsi" w:hAnsiTheme="minorHAnsi" w:cstheme="minorHAnsi"/>
                <w:b/>
                <w:szCs w:val="20"/>
              </w:rPr>
              <w:lastRenderedPageBreak/>
              <w:t>DETAILS OF JUDGMENT</w:t>
            </w:r>
          </w:p>
          <w:p w14:paraId="35DD5207" w14:textId="6648C33A" w:rsidR="00E02429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szCs w:val="20"/>
              </w:rPr>
              <w:t xml:space="preserve">The </w:t>
            </w:r>
            <w:proofErr w:type="gramStart"/>
            <w:r w:rsidRPr="00803F12">
              <w:rPr>
                <w:rFonts w:asciiTheme="minorHAnsi" w:hAnsiTheme="minorHAnsi" w:cstheme="minorHAnsi"/>
                <w:szCs w:val="20"/>
              </w:rPr>
              <w:t>particulars of</w:t>
            </w:r>
            <w:proofErr w:type="gramEnd"/>
            <w:r w:rsidRPr="00803F12">
              <w:rPr>
                <w:rFonts w:asciiTheme="minorHAnsi" w:hAnsiTheme="minorHAnsi" w:cstheme="minorHAnsi"/>
                <w:szCs w:val="20"/>
              </w:rPr>
              <w:t xml:space="preserve"> the judgment that are entered in the records of the </w:t>
            </w:r>
            <w:r w:rsidR="003B1F36" w:rsidRPr="00803F12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="003B1F36" w:rsidRPr="00803F12">
              <w:rPr>
                <w:rFonts w:asciiTheme="majorHAnsi" w:hAnsiTheme="majorHAnsi" w:cstheme="majorHAnsi"/>
                <w:i/>
                <w:sz w:val="18"/>
                <w:szCs w:val="18"/>
              </w:rPr>
              <w:t>name of Court</w:t>
            </w:r>
            <w:r w:rsidR="003B1F36" w:rsidRPr="00803F12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="003B1F36" w:rsidRPr="00803F12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r w:rsidRPr="00803F12">
              <w:rPr>
                <w:rFonts w:asciiTheme="majorHAnsi" w:hAnsiTheme="majorHAnsi" w:cstheme="majorHAnsi"/>
              </w:rPr>
              <w:t>Court of South Australia</w:t>
            </w:r>
            <w:r w:rsidRPr="00803F12">
              <w:rPr>
                <w:rFonts w:asciiTheme="minorHAnsi" w:hAnsiTheme="minorHAnsi" w:cstheme="minorHAnsi"/>
                <w:szCs w:val="20"/>
              </w:rPr>
              <w:t xml:space="preserve"> include the following: </w:t>
            </w:r>
          </w:p>
          <w:p w14:paraId="5B1F3489" w14:textId="59609C71" w:rsidR="00E02429" w:rsidRPr="00E36F2F" w:rsidRDefault="00E02429" w:rsidP="00803F12">
            <w:pPr>
              <w:pStyle w:val="NoSpacing"/>
              <w:spacing w:before="240" w:after="240"/>
              <w:rPr>
                <w:rFonts w:cs="Arial"/>
                <w:szCs w:val="20"/>
              </w:rPr>
            </w:pPr>
            <w:r w:rsidRPr="00803F12">
              <w:rPr>
                <w:rFonts w:cs="Arial"/>
              </w:rPr>
              <w:t xml:space="preserve">Amount payable under </w:t>
            </w:r>
            <w:r w:rsidRPr="00E36F2F">
              <w:rPr>
                <w:rFonts w:cs="Arial"/>
                <w:szCs w:val="20"/>
              </w:rPr>
              <w:t xml:space="preserve">judgment: </w:t>
            </w:r>
            <w:r w:rsidR="003B1F36" w:rsidRPr="00E36F2F">
              <w:rPr>
                <w:rFonts w:cs="Arial"/>
                <w:szCs w:val="20"/>
              </w:rPr>
              <w:t>[</w:t>
            </w:r>
            <w:r w:rsidR="003B1F36" w:rsidRPr="00E36F2F">
              <w:rPr>
                <w:rFonts w:cs="Arial"/>
                <w:i/>
                <w:szCs w:val="20"/>
              </w:rPr>
              <w:t>currency</w:t>
            </w:r>
            <w:r w:rsidR="003B1F36" w:rsidRPr="00E36F2F">
              <w:rPr>
                <w:rFonts w:cs="Arial"/>
                <w:szCs w:val="20"/>
              </w:rPr>
              <w:t>]</w:t>
            </w:r>
            <w:r w:rsidR="00FF54C7" w:rsidRPr="00E36F2F">
              <w:rPr>
                <w:rFonts w:cs="Arial"/>
                <w:szCs w:val="20"/>
              </w:rPr>
              <w:t xml:space="preserve"> $</w:t>
            </w:r>
            <w:r w:rsidR="003B1F36" w:rsidRPr="00E36F2F">
              <w:rPr>
                <w:rFonts w:cs="Arial"/>
                <w:szCs w:val="20"/>
              </w:rPr>
              <w:t>[</w:t>
            </w:r>
            <w:r w:rsidR="003B1F36" w:rsidRPr="00E36F2F">
              <w:rPr>
                <w:rFonts w:cs="Arial"/>
                <w:i/>
                <w:szCs w:val="20"/>
              </w:rPr>
              <w:t>amount</w:t>
            </w:r>
            <w:r w:rsidR="003B1F36" w:rsidRPr="00E36F2F">
              <w:rPr>
                <w:rFonts w:cs="Arial"/>
                <w:szCs w:val="20"/>
              </w:rPr>
              <w:t>]</w:t>
            </w:r>
          </w:p>
          <w:p w14:paraId="4E03C705" w14:textId="1E840845" w:rsidR="00E02429" w:rsidRPr="00E36F2F" w:rsidRDefault="00E02429" w:rsidP="00803F12">
            <w:pPr>
              <w:pStyle w:val="NoSpacing"/>
              <w:spacing w:before="240" w:after="240"/>
              <w:rPr>
                <w:rFonts w:cs="Arial"/>
                <w:szCs w:val="20"/>
              </w:rPr>
            </w:pPr>
            <w:r w:rsidRPr="00E36F2F">
              <w:rPr>
                <w:rFonts w:cs="Arial"/>
                <w:szCs w:val="20"/>
              </w:rPr>
              <w:t xml:space="preserve">Interest payable under </w:t>
            </w:r>
            <w:r w:rsidR="00E36F2F">
              <w:rPr>
                <w:rFonts w:cs="Arial"/>
                <w:szCs w:val="20"/>
              </w:rPr>
              <w:t>section</w:t>
            </w:r>
            <w:r w:rsidRPr="00E36F2F">
              <w:rPr>
                <w:rFonts w:cs="Arial"/>
                <w:szCs w:val="20"/>
              </w:rPr>
              <w:t xml:space="preserve"> 67(a) of the </w:t>
            </w:r>
            <w:r w:rsidR="008559D8" w:rsidRPr="00E36F2F">
              <w:rPr>
                <w:rFonts w:cs="Arial"/>
                <w:szCs w:val="20"/>
              </w:rPr>
              <w:t>Trans-</w:t>
            </w:r>
            <w:r w:rsidRPr="00E36F2F">
              <w:rPr>
                <w:rFonts w:cs="Arial"/>
                <w:szCs w:val="20"/>
              </w:rPr>
              <w:t xml:space="preserve">Tasman Proceedings Act 2010: </w:t>
            </w:r>
            <w:r w:rsidR="003B1F36" w:rsidRPr="00E36F2F">
              <w:rPr>
                <w:rFonts w:cs="Arial"/>
                <w:szCs w:val="20"/>
              </w:rPr>
              <w:t>[</w:t>
            </w:r>
            <w:r w:rsidR="003B1F36" w:rsidRPr="00E36F2F">
              <w:rPr>
                <w:rFonts w:cs="Arial"/>
                <w:i/>
                <w:szCs w:val="20"/>
              </w:rPr>
              <w:t>currency</w:t>
            </w:r>
            <w:r w:rsidR="00FF54C7" w:rsidRPr="00E36F2F">
              <w:rPr>
                <w:rFonts w:cs="Arial"/>
                <w:szCs w:val="20"/>
              </w:rPr>
              <w:t>] $</w:t>
            </w:r>
            <w:r w:rsidR="003B1F36" w:rsidRPr="00E36F2F">
              <w:rPr>
                <w:rFonts w:cs="Arial"/>
                <w:szCs w:val="20"/>
              </w:rPr>
              <w:t>[</w:t>
            </w:r>
            <w:r w:rsidR="003B1F36" w:rsidRPr="00E36F2F">
              <w:rPr>
                <w:rFonts w:cs="Arial"/>
                <w:i/>
                <w:szCs w:val="20"/>
              </w:rPr>
              <w:t>amount</w:t>
            </w:r>
            <w:r w:rsidR="003B1F36" w:rsidRPr="00E36F2F">
              <w:rPr>
                <w:rFonts w:cs="Arial"/>
                <w:szCs w:val="20"/>
              </w:rPr>
              <w:t>]</w:t>
            </w:r>
          </w:p>
          <w:p w14:paraId="7A58140D" w14:textId="4DEF0390" w:rsidR="00E02429" w:rsidRPr="00E36F2F" w:rsidRDefault="00E02429" w:rsidP="00803F12">
            <w:pPr>
              <w:pStyle w:val="NoSpacing"/>
              <w:spacing w:before="240" w:after="240"/>
              <w:rPr>
                <w:rFonts w:asciiTheme="majorHAnsi" w:hAnsiTheme="majorHAnsi" w:cstheme="majorHAnsi"/>
                <w:szCs w:val="20"/>
              </w:rPr>
            </w:pPr>
            <w:r w:rsidRPr="00E36F2F">
              <w:rPr>
                <w:rFonts w:cs="Arial"/>
                <w:szCs w:val="20"/>
              </w:rPr>
              <w:t xml:space="preserve">Terms of the judgment: </w:t>
            </w:r>
            <w:r w:rsidR="003B1F36" w:rsidRPr="00E36F2F">
              <w:rPr>
                <w:rFonts w:cs="Arial"/>
                <w:szCs w:val="20"/>
              </w:rPr>
              <w:t>[</w:t>
            </w:r>
            <w:r w:rsidRPr="00E36F2F">
              <w:rPr>
                <w:rFonts w:cs="Arial"/>
                <w:i/>
                <w:szCs w:val="20"/>
              </w:rPr>
              <w:t>specify any non-monetary orders</w:t>
            </w:r>
            <w:r w:rsidR="003B1F36" w:rsidRPr="00E36F2F">
              <w:rPr>
                <w:rFonts w:cs="Arial"/>
                <w:szCs w:val="20"/>
              </w:rPr>
              <w:t>]</w:t>
            </w:r>
            <w:r w:rsidRPr="00E36F2F">
              <w:rPr>
                <w:rFonts w:asciiTheme="majorHAnsi" w:hAnsiTheme="majorHAnsi" w:cstheme="majorHAnsi"/>
                <w:szCs w:val="20"/>
              </w:rPr>
              <w:t>.</w:t>
            </w:r>
          </w:p>
          <w:p w14:paraId="26C14A04" w14:textId="46692CF9" w:rsidR="00E02429" w:rsidRPr="00E36F2F" w:rsidRDefault="00E02429" w:rsidP="00803F12">
            <w:pPr>
              <w:pStyle w:val="NoSpacing"/>
              <w:spacing w:before="240" w:after="240"/>
              <w:rPr>
                <w:rFonts w:cs="Arial"/>
                <w:szCs w:val="20"/>
              </w:rPr>
            </w:pPr>
            <w:r w:rsidRPr="00E36F2F">
              <w:rPr>
                <w:rFonts w:cs="Arial"/>
                <w:szCs w:val="20"/>
              </w:rPr>
              <w:t>Costs and expenses related to registration of the judgment:</w:t>
            </w:r>
            <w:r w:rsidR="00335CE1" w:rsidRPr="00E36F2F">
              <w:rPr>
                <w:rFonts w:cs="Arial"/>
                <w:i/>
                <w:szCs w:val="20"/>
              </w:rPr>
              <w:t xml:space="preserve"> </w:t>
            </w:r>
            <w:r w:rsidR="00335CE1" w:rsidRPr="00E36F2F">
              <w:rPr>
                <w:rFonts w:cs="Arial"/>
                <w:szCs w:val="20"/>
              </w:rPr>
              <w:t>[</w:t>
            </w:r>
            <w:r w:rsidR="00335CE1" w:rsidRPr="00E36F2F">
              <w:rPr>
                <w:rFonts w:cs="Arial"/>
                <w:i/>
                <w:szCs w:val="20"/>
              </w:rPr>
              <w:t>currency</w:t>
            </w:r>
            <w:r w:rsidR="00FF54C7" w:rsidRPr="00E36F2F">
              <w:rPr>
                <w:rFonts w:cs="Arial"/>
                <w:szCs w:val="20"/>
              </w:rPr>
              <w:t>] $</w:t>
            </w:r>
            <w:r w:rsidR="00335CE1" w:rsidRPr="00E36F2F">
              <w:rPr>
                <w:rFonts w:cs="Arial"/>
                <w:szCs w:val="20"/>
                <w:u w:val="single"/>
              </w:rPr>
              <w:t>[</w:t>
            </w:r>
            <w:r w:rsidR="00335CE1" w:rsidRPr="00E36F2F">
              <w:rPr>
                <w:rFonts w:cs="Arial"/>
                <w:i/>
                <w:szCs w:val="20"/>
              </w:rPr>
              <w:t>amount</w:t>
            </w:r>
            <w:r w:rsidR="00335CE1" w:rsidRPr="00E36F2F">
              <w:rPr>
                <w:rFonts w:cs="Arial"/>
                <w:szCs w:val="20"/>
              </w:rPr>
              <w:t>]</w:t>
            </w:r>
          </w:p>
          <w:p w14:paraId="542285EC" w14:textId="751BF20D" w:rsidR="00000B29" w:rsidRPr="00803F12" w:rsidRDefault="00E02429" w:rsidP="00803F12">
            <w:pPr>
              <w:spacing w:after="120"/>
              <w:rPr>
                <w:rFonts w:asciiTheme="minorHAnsi" w:hAnsiTheme="minorHAnsi" w:cs="Calibri"/>
              </w:rPr>
            </w:pPr>
            <w:r w:rsidRPr="00E36F2F">
              <w:rPr>
                <w:rFonts w:cs="Arial"/>
              </w:rPr>
              <w:t xml:space="preserve">Costs and expenses related to attempted enforcement in original court or tribunal: </w:t>
            </w:r>
            <w:r w:rsidR="00335CE1" w:rsidRPr="00E36F2F">
              <w:rPr>
                <w:rFonts w:cs="Arial"/>
              </w:rPr>
              <w:t>[</w:t>
            </w:r>
            <w:r w:rsidR="00335CE1" w:rsidRPr="00E36F2F">
              <w:rPr>
                <w:rFonts w:cs="Arial"/>
                <w:i/>
              </w:rPr>
              <w:t>currency</w:t>
            </w:r>
            <w:r w:rsidR="00FF54C7" w:rsidRPr="00E36F2F">
              <w:rPr>
                <w:rFonts w:cs="Arial"/>
              </w:rPr>
              <w:t>] $</w:t>
            </w:r>
            <w:r w:rsidR="00335CE1" w:rsidRPr="00E36F2F">
              <w:rPr>
                <w:rFonts w:cs="Arial"/>
              </w:rPr>
              <w:t>[</w:t>
            </w:r>
            <w:r w:rsidR="00335CE1" w:rsidRPr="00E36F2F">
              <w:rPr>
                <w:rFonts w:cs="Arial"/>
                <w:i/>
              </w:rPr>
              <w:t>amount</w:t>
            </w:r>
            <w:r w:rsidR="00335CE1" w:rsidRPr="00E36F2F">
              <w:rPr>
                <w:rFonts w:cs="Arial"/>
              </w:rPr>
              <w:t>]</w:t>
            </w:r>
            <w:r w:rsidR="00803F12" w:rsidRPr="00E36F2F">
              <w:rPr>
                <w:rFonts w:cs="Arial"/>
              </w:rPr>
              <w:t>.</w:t>
            </w:r>
          </w:p>
        </w:tc>
      </w:tr>
    </w:tbl>
    <w:p w14:paraId="6C81DCCC" w14:textId="77777777" w:rsidR="00AB5939" w:rsidRPr="00803F12" w:rsidRDefault="00AB5939" w:rsidP="00FF54C7">
      <w:pPr>
        <w:spacing w:before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02429" w:rsidRPr="00803F12" w14:paraId="186C6B08" w14:textId="77777777" w:rsidTr="00E02429">
        <w:tc>
          <w:tcPr>
            <w:tcW w:w="10457" w:type="dxa"/>
          </w:tcPr>
          <w:p w14:paraId="5D55E4C6" w14:textId="4C21DBBA" w:rsidR="00E02429" w:rsidRPr="00803F12" w:rsidRDefault="00E02429" w:rsidP="00803F12">
            <w:pPr>
              <w:pStyle w:val="NoSpacing"/>
              <w:spacing w:before="120" w:after="240"/>
              <w:jc w:val="center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b/>
                <w:szCs w:val="20"/>
              </w:rPr>
              <w:t>CONSEQUENCES OF REGISTRATION AND THIS NOTICE BEING SERVED ON YOU</w:t>
            </w:r>
          </w:p>
          <w:p w14:paraId="628EB96D" w14:textId="4D3BE17C" w:rsidR="00262522" w:rsidRPr="00803F12" w:rsidRDefault="00E02429" w:rsidP="00803F12">
            <w:pPr>
              <w:spacing w:after="120"/>
              <w:rPr>
                <w:rFonts w:cs="Arial"/>
                <w:b/>
              </w:rPr>
            </w:pPr>
            <w:r w:rsidRPr="00803F12">
              <w:rPr>
                <w:rFonts w:asciiTheme="minorHAnsi" w:hAnsiTheme="minorHAnsi" w:cstheme="minorHAnsi"/>
              </w:rPr>
              <w:t>The New Zealand judgment can be enforced in Australia as if it were a judgment given by</w:t>
            </w:r>
            <w:r w:rsidR="00803F12" w:rsidRPr="00803F12">
              <w:rPr>
                <w:rFonts w:asciiTheme="minorHAnsi" w:hAnsiTheme="minorHAnsi" w:cstheme="minorHAnsi"/>
              </w:rPr>
              <w:t xml:space="preserve"> </w:t>
            </w:r>
            <w:r w:rsidRPr="00E36F2F">
              <w:rPr>
                <w:rFonts w:asciiTheme="minorHAnsi" w:hAnsiTheme="minorHAnsi" w:cstheme="minorHAnsi"/>
              </w:rPr>
              <w:t xml:space="preserve">the </w:t>
            </w:r>
            <w:r w:rsidR="00335CE1" w:rsidRPr="00E36F2F">
              <w:rPr>
                <w:rFonts w:asciiTheme="majorHAnsi" w:hAnsiTheme="majorHAnsi" w:cstheme="majorHAnsi"/>
              </w:rPr>
              <w:t>[</w:t>
            </w:r>
            <w:r w:rsidR="00335CE1" w:rsidRPr="00E36F2F">
              <w:rPr>
                <w:rFonts w:asciiTheme="majorHAnsi" w:hAnsiTheme="majorHAnsi" w:cstheme="majorHAnsi"/>
                <w:i/>
              </w:rPr>
              <w:t>name of Court</w:t>
            </w:r>
            <w:r w:rsidR="00335CE1" w:rsidRPr="00E36F2F">
              <w:rPr>
                <w:rFonts w:asciiTheme="majorHAnsi" w:hAnsiTheme="majorHAnsi" w:cstheme="majorHAnsi"/>
              </w:rPr>
              <w:t xml:space="preserve">] </w:t>
            </w:r>
            <w:r w:rsidRPr="00E36F2F">
              <w:rPr>
                <w:rFonts w:asciiTheme="majorHAnsi" w:hAnsiTheme="majorHAnsi" w:cstheme="majorHAnsi"/>
              </w:rPr>
              <w:t>Court</w:t>
            </w:r>
            <w:r w:rsidRPr="00803F12">
              <w:rPr>
                <w:rFonts w:asciiTheme="majorHAnsi" w:hAnsiTheme="majorHAnsi" w:cstheme="majorHAnsi"/>
              </w:rPr>
              <w:t xml:space="preserve"> of South Australia</w:t>
            </w:r>
            <w:r w:rsidRPr="00803F12">
              <w:rPr>
                <w:rFonts w:asciiTheme="minorHAnsi" w:hAnsiTheme="minorHAnsi" w:cstheme="minorHAnsi"/>
              </w:rPr>
              <w:t>.</w:t>
            </w:r>
          </w:p>
        </w:tc>
      </w:tr>
    </w:tbl>
    <w:p w14:paraId="044F422A" w14:textId="6FA9FFA0" w:rsidR="00AB0E36" w:rsidRPr="00803F12" w:rsidRDefault="00AB0E36" w:rsidP="00FF54C7">
      <w:pPr>
        <w:spacing w:before="120"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02429" w:rsidRPr="00803F12" w14:paraId="3C5B2009" w14:textId="77777777" w:rsidTr="00E02429">
        <w:tc>
          <w:tcPr>
            <w:tcW w:w="10457" w:type="dxa"/>
          </w:tcPr>
          <w:p w14:paraId="480FA448" w14:textId="0D463149" w:rsidR="00E02429" w:rsidRPr="00803F12" w:rsidRDefault="00E02429" w:rsidP="00803F12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03F12">
              <w:rPr>
                <w:rFonts w:asciiTheme="minorHAnsi" w:hAnsiTheme="minorHAnsi" w:cstheme="minorHAnsi"/>
                <w:b/>
                <w:szCs w:val="20"/>
              </w:rPr>
              <w:t>YOUR RIGHTS</w:t>
            </w:r>
          </w:p>
          <w:p w14:paraId="70824CE0" w14:textId="58DD6BD3" w:rsidR="00E02429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Cs w:val="20"/>
              </w:rPr>
            </w:pPr>
            <w:r w:rsidRPr="00803F12">
              <w:rPr>
                <w:rFonts w:asciiTheme="minorHAnsi" w:hAnsiTheme="minorHAnsi" w:cstheme="minorHAnsi"/>
                <w:b/>
                <w:szCs w:val="20"/>
              </w:rPr>
              <w:t>Setting Aside Registration</w:t>
            </w:r>
          </w:p>
          <w:p w14:paraId="51CC2B2E" w14:textId="50E3BA53" w:rsidR="00E02429" w:rsidRPr="00E36F2F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szCs w:val="20"/>
              </w:rPr>
              <w:t xml:space="preserve">If the judgment should not have been registered in Australia under the </w:t>
            </w:r>
            <w:proofErr w:type="spellStart"/>
            <w:r w:rsidRPr="00803F12">
              <w:rPr>
                <w:rFonts w:asciiTheme="minorHAnsi" w:hAnsiTheme="minorHAnsi" w:cstheme="minorHAnsi"/>
                <w:szCs w:val="20"/>
              </w:rPr>
              <w:t>Trans Tasman</w:t>
            </w:r>
            <w:proofErr w:type="spellEnd"/>
            <w:r w:rsidRPr="00803F12">
              <w:rPr>
                <w:rFonts w:asciiTheme="minorHAnsi" w:hAnsiTheme="minorHAnsi" w:cstheme="minorHAnsi"/>
                <w:szCs w:val="20"/>
              </w:rPr>
              <w:t xml:space="preserve"> Proceedings Act 2010 (Cth), you may be able to have the registration set aside by applying to </w:t>
            </w:r>
            <w:r w:rsidRPr="00E36F2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335CE1" w:rsidRPr="00E36F2F">
              <w:rPr>
                <w:rFonts w:asciiTheme="majorHAnsi" w:hAnsiTheme="majorHAnsi" w:cstheme="majorHAnsi"/>
                <w:szCs w:val="20"/>
              </w:rPr>
              <w:t>[</w:t>
            </w:r>
            <w:r w:rsidR="00335CE1" w:rsidRPr="00E36F2F">
              <w:rPr>
                <w:rFonts w:asciiTheme="majorHAnsi" w:hAnsiTheme="majorHAnsi" w:cstheme="majorHAnsi"/>
                <w:i/>
                <w:szCs w:val="20"/>
              </w:rPr>
              <w:t>name of Court</w:t>
            </w:r>
            <w:r w:rsidR="00335CE1" w:rsidRPr="00E36F2F">
              <w:rPr>
                <w:rFonts w:asciiTheme="majorHAnsi" w:hAnsiTheme="majorHAnsi" w:cstheme="majorHAnsi"/>
                <w:szCs w:val="20"/>
              </w:rPr>
              <w:t>]</w:t>
            </w:r>
            <w:r w:rsidR="00335CE1" w:rsidRPr="00E36F2F">
              <w:rPr>
                <w:rFonts w:asciiTheme="majorHAnsi" w:hAnsiTheme="majorHAnsi" w:cstheme="majorHAnsi"/>
                <w:i/>
                <w:szCs w:val="20"/>
              </w:rPr>
              <w:t xml:space="preserve"> </w:t>
            </w:r>
            <w:r w:rsidRPr="00E36F2F">
              <w:rPr>
                <w:rFonts w:asciiTheme="majorHAnsi" w:hAnsiTheme="majorHAnsi" w:cstheme="majorHAnsi"/>
                <w:szCs w:val="20"/>
              </w:rPr>
              <w:t>Court of South Australia</w:t>
            </w:r>
            <w:proofErr w:type="gramStart"/>
            <w:r w:rsidRPr="00E36F2F">
              <w:rPr>
                <w:rFonts w:asciiTheme="minorHAnsi" w:hAnsiTheme="minorHAnsi" w:cstheme="minorHAnsi"/>
                <w:szCs w:val="20"/>
              </w:rPr>
              <w:t xml:space="preserve">. </w:t>
            </w:r>
            <w:proofErr w:type="gramEnd"/>
            <w:r w:rsidRPr="00E36F2F">
              <w:rPr>
                <w:rFonts w:asciiTheme="minorHAnsi" w:hAnsiTheme="minorHAnsi" w:cstheme="minorHAnsi"/>
                <w:szCs w:val="20"/>
              </w:rPr>
              <w:t>The Act sets out limited grounds on which registration of a judgment may be set aside.</w:t>
            </w:r>
          </w:p>
          <w:p w14:paraId="696C3D72" w14:textId="77777777" w:rsidR="00E02429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szCs w:val="20"/>
              </w:rPr>
              <w:t>You must make an application for the registration to be set aside within 30 working days after the day on which you were given this notice.</w:t>
            </w:r>
          </w:p>
          <w:p w14:paraId="1A0D74EC" w14:textId="77777777" w:rsidR="00E02429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szCs w:val="20"/>
              </w:rPr>
              <w:t>If you think the registration should be set aside you should get legal advice as soon as possible.</w:t>
            </w:r>
          </w:p>
          <w:p w14:paraId="117DF9AA" w14:textId="77777777" w:rsidR="00E02429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Cs w:val="20"/>
              </w:rPr>
            </w:pPr>
            <w:r w:rsidRPr="00803F12">
              <w:rPr>
                <w:rFonts w:asciiTheme="minorHAnsi" w:hAnsiTheme="minorHAnsi" w:cstheme="minorHAnsi"/>
                <w:b/>
                <w:szCs w:val="20"/>
              </w:rPr>
              <w:t>Stay of Enforcement</w:t>
            </w:r>
          </w:p>
          <w:p w14:paraId="4EDE9D81" w14:textId="505B24FB" w:rsidR="000D3277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szCs w:val="20"/>
              </w:rPr>
              <w:t xml:space="preserve">If you intend to apply to the </w:t>
            </w:r>
            <w:r w:rsidR="00335CE1" w:rsidRPr="00803F12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="00335CE1" w:rsidRPr="00803F12">
              <w:rPr>
                <w:rFonts w:asciiTheme="majorHAnsi" w:hAnsiTheme="majorHAnsi" w:cstheme="majorHAnsi"/>
                <w:i/>
                <w:sz w:val="18"/>
                <w:szCs w:val="18"/>
              </w:rPr>
              <w:t>New Zealand court or tribunal</w:t>
            </w:r>
            <w:r w:rsidR="00335CE1" w:rsidRPr="00803F12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="005318BF" w:rsidRPr="00803F12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r w:rsidRPr="00803F12">
              <w:rPr>
                <w:rFonts w:asciiTheme="minorHAnsi" w:hAnsiTheme="minorHAnsi" w:cstheme="minorHAnsi"/>
                <w:szCs w:val="20"/>
              </w:rPr>
              <w:t xml:space="preserve">to set aside, vary or appeal the judgment, you may apply for enforcement of the registered judgment in Australia not to be commenced or to be stayed (put on hold) for </w:t>
            </w:r>
            <w:proofErr w:type="gramStart"/>
            <w:r w:rsidRPr="00803F12">
              <w:rPr>
                <w:rFonts w:asciiTheme="minorHAnsi" w:hAnsiTheme="minorHAnsi" w:cstheme="minorHAnsi"/>
                <w:szCs w:val="20"/>
              </w:rPr>
              <w:t>a period of time</w:t>
            </w:r>
            <w:proofErr w:type="gramEnd"/>
            <w:r w:rsidRPr="00803F12">
              <w:rPr>
                <w:rFonts w:asciiTheme="minorHAnsi" w:hAnsiTheme="minorHAnsi" w:cstheme="minorHAnsi"/>
                <w:szCs w:val="20"/>
              </w:rPr>
              <w:t>.</w:t>
            </w:r>
          </w:p>
          <w:p w14:paraId="51F624D1" w14:textId="77777777" w:rsidR="00E02429" w:rsidRPr="00803F12" w:rsidRDefault="00E02429" w:rsidP="00803F12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</w:rPr>
            </w:pPr>
            <w:r w:rsidRPr="00803F12">
              <w:rPr>
                <w:rFonts w:asciiTheme="minorHAnsi" w:hAnsiTheme="minorHAnsi" w:cstheme="minorHAnsi"/>
                <w:szCs w:val="20"/>
              </w:rPr>
              <w:t>You must make an application for enforcement not to commence or to be stayed within 30 working days after the day on which you were given this notice.</w:t>
            </w:r>
          </w:p>
          <w:p w14:paraId="62F3C1B5" w14:textId="7A8D2FEB" w:rsidR="00E02429" w:rsidRPr="00803F12" w:rsidRDefault="00E02429" w:rsidP="00FF54C7">
            <w:pPr>
              <w:spacing w:after="120"/>
              <w:rPr>
                <w:rFonts w:cs="Arial"/>
                <w:b/>
              </w:rPr>
            </w:pPr>
            <w:r w:rsidRPr="00803F12">
              <w:rPr>
                <w:rFonts w:asciiTheme="minorHAnsi" w:hAnsiTheme="minorHAnsi" w:cstheme="minorHAnsi"/>
              </w:rPr>
              <w:t>If you think enforcement of the judgment should not commence, or should be stayed, you should get legal advice as soon as possible.</w:t>
            </w:r>
          </w:p>
        </w:tc>
      </w:tr>
    </w:tbl>
    <w:p w14:paraId="513889AB" w14:textId="77777777" w:rsidR="00AB0E36" w:rsidRPr="00803F12" w:rsidRDefault="00AB0E36" w:rsidP="00FF54C7">
      <w:pPr>
        <w:spacing w:before="120"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02429" w:rsidRPr="00803F12" w14:paraId="095D43D1" w14:textId="77777777" w:rsidTr="00E02429">
        <w:tc>
          <w:tcPr>
            <w:tcW w:w="10457" w:type="dxa"/>
          </w:tcPr>
          <w:p w14:paraId="69E97E64" w14:textId="77777777" w:rsidR="00E02429" w:rsidRPr="00803F12" w:rsidRDefault="00E02429" w:rsidP="00803F12">
            <w:pPr>
              <w:pStyle w:val="NoSpacing"/>
              <w:spacing w:before="120" w:after="24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03F12">
              <w:rPr>
                <w:rFonts w:asciiTheme="minorHAnsi" w:hAnsiTheme="minorHAnsi" w:cstheme="minorHAnsi"/>
                <w:b/>
                <w:szCs w:val="20"/>
              </w:rPr>
              <w:t>FAILURE TO COMPLY WITH JUDGMENT</w:t>
            </w:r>
          </w:p>
          <w:p w14:paraId="25618BDC" w14:textId="77777777" w:rsidR="00E02429" w:rsidRPr="00803F12" w:rsidRDefault="00E02429" w:rsidP="00803F12">
            <w:pPr>
              <w:overflowPunct/>
              <w:autoSpaceDE/>
              <w:autoSpaceDN/>
              <w:adjustRightInd/>
              <w:spacing w:after="120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03F12">
              <w:rPr>
                <w:rFonts w:asciiTheme="majorHAnsi" w:hAnsiTheme="majorHAnsi" w:cstheme="majorHAnsi"/>
              </w:rPr>
              <w:t>If you fail to comply with the judgment:</w:t>
            </w:r>
          </w:p>
          <w:p w14:paraId="2A3F3FAE" w14:textId="77777777" w:rsidR="00E02429" w:rsidRPr="00803F12" w:rsidRDefault="00E02429" w:rsidP="00803F12">
            <w:pPr>
              <w:pStyle w:val="ListParagraph"/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1134" w:hanging="567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03F12">
              <w:rPr>
                <w:rFonts w:asciiTheme="majorHAnsi" w:hAnsiTheme="majorHAnsi" w:cstheme="majorHAnsi"/>
              </w:rPr>
              <w:t>further interest may accrue on any amount owing; and</w:t>
            </w:r>
          </w:p>
          <w:p w14:paraId="5FBA4E5E" w14:textId="4A1ACC89" w:rsidR="000D3277" w:rsidRPr="00803F12" w:rsidRDefault="00E02429" w:rsidP="00803F12">
            <w:pPr>
              <w:pStyle w:val="ListParagraph"/>
              <w:numPr>
                <w:ilvl w:val="0"/>
                <w:numId w:val="47"/>
              </w:numPr>
              <w:spacing w:after="120"/>
              <w:ind w:left="1134" w:hanging="567"/>
            </w:pPr>
            <w:r w:rsidRPr="00803F12">
              <w:rPr>
                <w:rFonts w:asciiTheme="majorHAnsi" w:hAnsiTheme="majorHAnsi" w:cstheme="majorHAnsi"/>
              </w:rPr>
              <w:t>you may be required to pay the costs of enforcing the judgment</w:t>
            </w:r>
            <w:r w:rsidR="000D3277" w:rsidRPr="00803F12">
              <w:rPr>
                <w:rFonts w:asciiTheme="majorHAnsi" w:hAnsiTheme="majorHAnsi" w:cstheme="majorHAnsi"/>
              </w:rPr>
              <w:t>.</w:t>
            </w:r>
          </w:p>
        </w:tc>
      </w:tr>
    </w:tbl>
    <w:p w14:paraId="23B61142" w14:textId="77777777" w:rsidR="005B6B11" w:rsidRPr="00803F12" w:rsidRDefault="005B6B11" w:rsidP="005B6B11"/>
    <w:sectPr w:rsidR="005B6B11" w:rsidRPr="00803F1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8685" w14:textId="77777777" w:rsidR="00984F17" w:rsidRDefault="00984F17" w:rsidP="00F437EE">
      <w:r>
        <w:separator/>
      </w:r>
    </w:p>
  </w:endnote>
  <w:endnote w:type="continuationSeparator" w:id="0">
    <w:p w14:paraId="518E9EA0" w14:textId="77777777" w:rsidR="00984F17" w:rsidRDefault="00984F1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129B" w14:textId="77777777" w:rsidR="00B61A1A" w:rsidRDefault="00B61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AF6C" w14:textId="77777777" w:rsidR="00B61A1A" w:rsidRDefault="00B61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DA779" w14:textId="77777777" w:rsidR="00B61A1A" w:rsidRDefault="00B6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48164" w14:textId="77777777" w:rsidR="00984F17" w:rsidRDefault="00984F17" w:rsidP="00F437EE">
      <w:r>
        <w:separator/>
      </w:r>
    </w:p>
  </w:footnote>
  <w:footnote w:type="continuationSeparator" w:id="0">
    <w:p w14:paraId="0B3B93EC" w14:textId="77777777" w:rsidR="00984F17" w:rsidRDefault="00984F1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D4BB" w14:textId="77777777" w:rsidR="00B61A1A" w:rsidRDefault="00B61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7BBA4B1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375F8">
      <w:rPr>
        <w:lang w:val="en-US"/>
      </w:rPr>
      <w:t>134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5BC4C11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375F8">
      <w:rPr>
        <w:lang w:val="en-US"/>
      </w:rPr>
      <w:t>134</w:t>
    </w:r>
  </w:p>
  <w:p w14:paraId="02461B43" w14:textId="77777777" w:rsidR="00917942" w:rsidRPr="00BA48D1" w:rsidRDefault="00917942" w:rsidP="00B61A1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F25FB"/>
    <w:multiLevelType w:val="hybridMultilevel"/>
    <w:tmpl w:val="76921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23"/>
  </w:num>
  <w:num w:numId="5">
    <w:abstractNumId w:val="15"/>
  </w:num>
  <w:num w:numId="6">
    <w:abstractNumId w:val="22"/>
  </w:num>
  <w:num w:numId="7">
    <w:abstractNumId w:val="12"/>
  </w:num>
  <w:num w:numId="8">
    <w:abstractNumId w:val="14"/>
  </w:num>
  <w:num w:numId="9">
    <w:abstractNumId w:val="1"/>
  </w:num>
  <w:num w:numId="10">
    <w:abstractNumId w:val="36"/>
  </w:num>
  <w:num w:numId="11">
    <w:abstractNumId w:val="18"/>
  </w:num>
  <w:num w:numId="12">
    <w:abstractNumId w:val="27"/>
  </w:num>
  <w:num w:numId="13">
    <w:abstractNumId w:val="42"/>
  </w:num>
  <w:num w:numId="14">
    <w:abstractNumId w:val="10"/>
  </w:num>
  <w:num w:numId="15">
    <w:abstractNumId w:val="34"/>
  </w:num>
  <w:num w:numId="16">
    <w:abstractNumId w:val="33"/>
  </w:num>
  <w:num w:numId="17">
    <w:abstractNumId w:val="4"/>
  </w:num>
  <w:num w:numId="18">
    <w:abstractNumId w:val="16"/>
  </w:num>
  <w:num w:numId="19">
    <w:abstractNumId w:val="45"/>
  </w:num>
  <w:num w:numId="20">
    <w:abstractNumId w:val="6"/>
  </w:num>
  <w:num w:numId="21">
    <w:abstractNumId w:val="35"/>
  </w:num>
  <w:num w:numId="22">
    <w:abstractNumId w:val="13"/>
  </w:num>
  <w:num w:numId="23">
    <w:abstractNumId w:val="29"/>
  </w:num>
  <w:num w:numId="24">
    <w:abstractNumId w:val="21"/>
  </w:num>
  <w:num w:numId="25">
    <w:abstractNumId w:val="46"/>
  </w:num>
  <w:num w:numId="26">
    <w:abstractNumId w:val="25"/>
  </w:num>
  <w:num w:numId="27">
    <w:abstractNumId w:val="24"/>
  </w:num>
  <w:num w:numId="28">
    <w:abstractNumId w:val="40"/>
  </w:num>
  <w:num w:numId="29">
    <w:abstractNumId w:val="5"/>
  </w:num>
  <w:num w:numId="30">
    <w:abstractNumId w:val="28"/>
  </w:num>
  <w:num w:numId="31">
    <w:abstractNumId w:val="9"/>
  </w:num>
  <w:num w:numId="32">
    <w:abstractNumId w:val="17"/>
  </w:num>
  <w:num w:numId="33">
    <w:abstractNumId w:val="38"/>
  </w:num>
  <w:num w:numId="34">
    <w:abstractNumId w:val="19"/>
  </w:num>
  <w:num w:numId="35">
    <w:abstractNumId w:val="20"/>
  </w:num>
  <w:num w:numId="36">
    <w:abstractNumId w:val="26"/>
  </w:num>
  <w:num w:numId="37">
    <w:abstractNumId w:val="37"/>
  </w:num>
  <w:num w:numId="38">
    <w:abstractNumId w:val="7"/>
  </w:num>
  <w:num w:numId="39">
    <w:abstractNumId w:val="30"/>
  </w:num>
  <w:num w:numId="40">
    <w:abstractNumId w:val="43"/>
  </w:num>
  <w:num w:numId="41">
    <w:abstractNumId w:val="31"/>
  </w:num>
  <w:num w:numId="42">
    <w:abstractNumId w:val="11"/>
  </w:num>
  <w:num w:numId="43">
    <w:abstractNumId w:val="44"/>
  </w:num>
  <w:num w:numId="44">
    <w:abstractNumId w:val="3"/>
  </w:num>
  <w:num w:numId="45">
    <w:abstractNumId w:val="2"/>
  </w:num>
  <w:num w:numId="46">
    <w:abstractNumId w:val="41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0B57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5CE1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1F36"/>
    <w:rsid w:val="003B596C"/>
    <w:rsid w:val="003B603B"/>
    <w:rsid w:val="003B6E96"/>
    <w:rsid w:val="003C032E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2F1F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375F8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F12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59D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4F17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521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A1A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4785"/>
    <w:rsid w:val="00BF5FF1"/>
    <w:rsid w:val="00BF6992"/>
    <w:rsid w:val="00BF6CBC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500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6F2F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6B4E"/>
    <w:rsid w:val="00F10CA9"/>
    <w:rsid w:val="00F11FEC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157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4C7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803F1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A599598</value>
    </field>
    <field name="Objective-Title">
      <value order="0">Form 85 Notice of Registration of New Zealand Jusdgment (S)</value>
    </field>
    <field name="Objective-Description">
      <value order="0"/>
    </field>
    <field name="Objective-CreationStamp">
      <value order="0">2019-08-22T00:02:50Z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2019-08-22T00:32:46Z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vA1077777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09- Finalisation</Category>
  </documentManagement>
</p:properties>
</file>

<file path=customXml/itemProps1.xml><?xml version="1.0" encoding="utf-8"?>
<ds:datastoreItem xmlns:ds="http://schemas.openxmlformats.org/officeDocument/2006/customXml" ds:itemID="{C6B195FD-4AEE-42FC-9F2A-6B0F58257937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31440299-122F-4509-B95F-CB491377DABD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 Notice of Registration of New Zealand Judgment</dc:title>
  <dc:subject/>
  <dc:creator>Courts Administration Authority; CAA</dc:creator>
  <cp:keywords>Civil; Forms; Finalisation</cp:keywords>
  <dc:description/>
  <cp:lastPrinted>2019-05-23T22:52:00Z</cp:lastPrinted>
  <dcterms:created xsi:type="dcterms:W3CDTF">2019-07-18T02:17:00Z</dcterms:created>
  <dcterms:modified xsi:type="dcterms:W3CDTF">2020-04-30T06:51:00Z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A599598</vt:lpwstr>
  </property>
  <property fmtid="{D5CDD505-2E9C-101B-9397-08002B2CF9AE}" pid="4" name="Objective-Title">
    <vt:lpwstr>Form 85 Notice of Registration of New Zealand Jusdgment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2019-08-22T00:32:45Z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2019-08-22T00:32:46Z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vA1077777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16800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134</vt:r8>
  </property>
</Properties>
</file>